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358C" w14:textId="77777777" w:rsidR="00F4469F" w:rsidRPr="006175FA" w:rsidRDefault="00F4469F" w:rsidP="006175FA">
      <w:pPr>
        <w:spacing w:before="100" w:beforeAutospacing="1" w:after="100" w:afterAutospacing="1" w:line="240" w:lineRule="auto"/>
        <w:jc w:val="center"/>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GOLD LEVEL – INTERNATIONAL STANDARDS</w:t>
      </w:r>
    </w:p>
    <w:p w14:paraId="531E3791" w14:textId="77777777" w:rsidR="00F4469F" w:rsidRPr="006175FA" w:rsidRDefault="00F4469F" w:rsidP="006175FA">
      <w:p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The Gold Level requires full and complete compliance with all obligations outlined in the Bronze and Silver Levels. At this level, organizations are expected to integrate child protection practices into permanent, measurable, and sustainable systems.</w:t>
      </w:r>
    </w:p>
    <w:p w14:paraId="49468B52" w14:textId="77777777" w:rsidR="00F4469F" w:rsidRPr="006175FA" w:rsidRDefault="00F4469F" w:rsidP="006175FA">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1. Advanced and Institutionalized Training Programs</w:t>
      </w:r>
    </w:p>
    <w:p w14:paraId="325B93DE" w14:textId="77777777" w:rsidR="00F4469F" w:rsidRPr="006175FA" w:rsidRDefault="00F4469F" w:rsidP="006175FA">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Child protection training must be conducted at least twice a year. The trainings must be diversified as follows:</w:t>
      </w:r>
    </w:p>
    <w:p w14:paraId="7E4485A2" w14:textId="77777777" w:rsidR="00F4469F" w:rsidRPr="006175FA" w:rsidRDefault="00F4469F" w:rsidP="006175FA">
      <w:pPr>
        <w:numPr>
          <w:ilvl w:val="1"/>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Basic Training: Once per year for coaches and referees</w:t>
      </w:r>
    </w:p>
    <w:p w14:paraId="25C79DD3" w14:textId="77777777" w:rsidR="00F4469F" w:rsidRPr="006175FA" w:rsidRDefault="00F4469F" w:rsidP="006175FA">
      <w:pPr>
        <w:numPr>
          <w:ilvl w:val="1"/>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Refresher and Update Training: A second session within the year for the same staff</w:t>
      </w:r>
    </w:p>
    <w:p w14:paraId="75FE78CC" w14:textId="77777777" w:rsidR="00F4469F" w:rsidRPr="006175FA" w:rsidRDefault="00F4469F" w:rsidP="006175FA">
      <w:pPr>
        <w:numPr>
          <w:ilvl w:val="1"/>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Executive and Support Staff Training: A dedicated module for administrative and support personnel</w:t>
      </w:r>
    </w:p>
    <w:p w14:paraId="3E6D1F73" w14:textId="77777777" w:rsidR="00F4469F" w:rsidRPr="006175FA" w:rsidRDefault="00F4469F" w:rsidP="006175FA">
      <w:pPr>
        <w:numPr>
          <w:ilvl w:val="0"/>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At the end of each training session:</w:t>
      </w:r>
    </w:p>
    <w:p w14:paraId="7B5C437C" w14:textId="77777777" w:rsidR="00F4469F" w:rsidRPr="006175FA" w:rsidRDefault="00F4469F" w:rsidP="006175FA">
      <w:pPr>
        <w:numPr>
          <w:ilvl w:val="1"/>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An exam must be administered to participants</w:t>
      </w:r>
    </w:p>
    <w:p w14:paraId="1D95DB8B" w14:textId="77777777" w:rsidR="00F4469F" w:rsidRPr="006175FA" w:rsidRDefault="00F4469F" w:rsidP="006175FA">
      <w:pPr>
        <w:numPr>
          <w:ilvl w:val="1"/>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Certificates must be issued to those who pass</w:t>
      </w:r>
    </w:p>
    <w:p w14:paraId="191421C4" w14:textId="77777777" w:rsidR="00F4469F" w:rsidRPr="006175FA" w:rsidRDefault="00F4469F" w:rsidP="006175FA">
      <w:pPr>
        <w:numPr>
          <w:ilvl w:val="1"/>
          <w:numId w:val="1"/>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Participants who fail must receive remedial training and reassessment</w:t>
      </w:r>
    </w:p>
    <w:p w14:paraId="34600D82" w14:textId="77777777" w:rsidR="00F4469F" w:rsidRPr="006175FA" w:rsidRDefault="00F4469F" w:rsidP="006175FA">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2. Risk Management and Continuous Monitoring System</w:t>
      </w:r>
    </w:p>
    <w:p w14:paraId="63F2FBA2" w14:textId="77777777" w:rsidR="00F4469F" w:rsidRPr="006175FA" w:rsidRDefault="00F4469F" w:rsidP="006175FA">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The organization must establish and utilize a digital risk monitoring system for all activities involving children.</w:t>
      </w:r>
    </w:p>
    <w:p w14:paraId="7BAC53A9" w14:textId="77777777" w:rsidR="00F4469F" w:rsidRPr="006175FA" w:rsidRDefault="00F4469F" w:rsidP="006175FA">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The risk management system must include:</w:t>
      </w:r>
    </w:p>
    <w:p w14:paraId="1D12641F" w14:textId="77777777" w:rsidR="00F4469F" w:rsidRPr="006175FA" w:rsidRDefault="00F4469F" w:rsidP="006175FA">
      <w:pPr>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Clearly identified risk areas (facilities, transportation, digital platforms, etc.)</w:t>
      </w:r>
    </w:p>
    <w:p w14:paraId="6597B820" w14:textId="77777777" w:rsidR="00F4469F" w:rsidRPr="006175FA" w:rsidRDefault="00F4469F" w:rsidP="006175FA">
      <w:pPr>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Preventive measures taken for each risk area</w:t>
      </w:r>
    </w:p>
    <w:p w14:paraId="087F8CAE" w14:textId="77777777" w:rsidR="00F4469F" w:rsidRPr="006175FA" w:rsidRDefault="00F4469F" w:rsidP="006175FA">
      <w:pPr>
        <w:numPr>
          <w:ilvl w:val="1"/>
          <w:numId w:val="2"/>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Up-to-date risk assessment reports</w:t>
      </w:r>
    </w:p>
    <w:p w14:paraId="204495A7" w14:textId="77777777" w:rsidR="00F4469F" w:rsidRPr="006175FA" w:rsidRDefault="00F4469F" w:rsidP="006175FA">
      <w:pPr>
        <w:numPr>
          <w:ilvl w:val="0"/>
          <w:numId w:val="2"/>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The functioning of the entire system must be presented schematically and submitted as an updated report at least once per year.</w:t>
      </w:r>
    </w:p>
    <w:p w14:paraId="022DE21E" w14:textId="77777777" w:rsidR="00F4469F" w:rsidRPr="006175FA" w:rsidRDefault="00F4469F" w:rsidP="006175FA">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3. Advanced Complaint Management</w:t>
      </w:r>
    </w:p>
    <w:p w14:paraId="35484016" w14:textId="77777777" w:rsidR="00F4469F" w:rsidRPr="006175FA" w:rsidRDefault="00F4469F" w:rsidP="006175FA">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The complaint system must:</w:t>
      </w:r>
    </w:p>
    <w:p w14:paraId="2FCF65C3" w14:textId="77777777" w:rsidR="00F4469F" w:rsidRPr="006175FA" w:rsidRDefault="00F4469F" w:rsidP="006175FA">
      <w:pPr>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Be accessible via web-based, mobile-compatible digital platforms</w:t>
      </w:r>
    </w:p>
    <w:p w14:paraId="427FA52F" w14:textId="77777777" w:rsidR="00F4469F" w:rsidRPr="006175FA" w:rsidRDefault="00F4469F" w:rsidP="006175FA">
      <w:pPr>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Include supportive explanations and accessibility features for individuals with disabilities or other disadvantages</w:t>
      </w:r>
    </w:p>
    <w:p w14:paraId="35F0D085" w14:textId="77777777" w:rsidR="00F4469F" w:rsidRPr="006175FA" w:rsidRDefault="00F4469F" w:rsidP="006175FA">
      <w:pPr>
        <w:numPr>
          <w:ilvl w:val="0"/>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For each complaint:</w:t>
      </w:r>
    </w:p>
    <w:p w14:paraId="727C4CFD" w14:textId="77777777" w:rsidR="00F4469F" w:rsidRPr="006175FA" w:rsidRDefault="00F4469F" w:rsidP="006175FA">
      <w:pPr>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The date it was received</w:t>
      </w:r>
    </w:p>
    <w:p w14:paraId="25A27B79" w14:textId="77777777" w:rsidR="00F4469F" w:rsidRPr="006175FA" w:rsidRDefault="00F4469F" w:rsidP="006175FA">
      <w:pPr>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The assessment process</w:t>
      </w:r>
    </w:p>
    <w:p w14:paraId="6567AAA5" w14:textId="77777777" w:rsidR="00F4469F" w:rsidRPr="006175FA" w:rsidRDefault="00F4469F" w:rsidP="006175FA">
      <w:pPr>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Actions taken</w:t>
      </w:r>
    </w:p>
    <w:p w14:paraId="0AF96F45" w14:textId="667899D3" w:rsidR="00F4469F" w:rsidRPr="006175FA" w:rsidRDefault="00F4469F" w:rsidP="006175FA">
      <w:pPr>
        <w:numPr>
          <w:ilvl w:val="1"/>
          <w:numId w:val="3"/>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Follow-up and outcome details must be recorded in detail and uploaded to the PCSOS system in an annual summary report.</w:t>
      </w:r>
    </w:p>
    <w:p w14:paraId="307D9FB0" w14:textId="77777777" w:rsidR="00F4469F" w:rsidRPr="006175FA" w:rsidRDefault="00F4469F" w:rsidP="006175FA">
      <w:pPr>
        <w:spacing w:before="100" w:beforeAutospacing="1" w:after="100" w:afterAutospacing="1" w:line="240" w:lineRule="auto"/>
        <w:jc w:val="both"/>
        <w:rPr>
          <w:rFonts w:eastAsia="Times New Roman"/>
          <w:color w:val="000000"/>
          <w:kern w:val="0"/>
          <w:lang w:val="en-US" w:eastAsia="tr-TR"/>
          <w14:ligatures w14:val="none"/>
        </w:rPr>
      </w:pPr>
    </w:p>
    <w:p w14:paraId="3D807FFC" w14:textId="77777777" w:rsidR="00F4469F" w:rsidRPr="006175FA" w:rsidRDefault="00F4469F" w:rsidP="006175FA">
      <w:pPr>
        <w:spacing w:before="100" w:beforeAutospacing="1" w:after="100" w:afterAutospacing="1" w:line="240" w:lineRule="auto"/>
        <w:jc w:val="both"/>
        <w:rPr>
          <w:rFonts w:eastAsia="Times New Roman"/>
          <w:color w:val="000000"/>
          <w:kern w:val="0"/>
          <w:lang w:val="en-US" w:eastAsia="tr-TR"/>
          <w14:ligatures w14:val="none"/>
        </w:rPr>
      </w:pPr>
    </w:p>
    <w:p w14:paraId="682B8ADE" w14:textId="77777777" w:rsidR="00F4469F" w:rsidRPr="006175FA" w:rsidRDefault="00F4469F" w:rsidP="006175FA">
      <w:pPr>
        <w:spacing w:before="100" w:beforeAutospacing="1" w:after="100" w:afterAutospacing="1" w:line="240" w:lineRule="auto"/>
        <w:jc w:val="both"/>
        <w:rPr>
          <w:rFonts w:eastAsia="Times New Roman"/>
          <w:color w:val="000000"/>
          <w:kern w:val="0"/>
          <w:lang w:val="en-US" w:eastAsia="tr-TR"/>
          <w14:ligatures w14:val="none"/>
        </w:rPr>
      </w:pPr>
    </w:p>
    <w:p w14:paraId="1E2E512E" w14:textId="05BABE84" w:rsidR="00F4469F" w:rsidRPr="006175FA" w:rsidRDefault="00F4469F" w:rsidP="006175FA">
      <w:p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lastRenderedPageBreak/>
        <w:t>In addition to the Silver Level, this level incorporates advanced, holistic, and digitally supported practices. The required documentation and evidence are as follows:</w:t>
      </w:r>
    </w:p>
    <w:p w14:paraId="71ED2481" w14:textId="77777777" w:rsidR="00F4469F" w:rsidRPr="006175FA" w:rsidRDefault="00F4469F" w:rsidP="006175FA">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1. Institutionalized Training Programs</w:t>
      </w:r>
    </w:p>
    <w:p w14:paraId="319E5E0D" w14:textId="77777777" w:rsidR="00F4469F" w:rsidRPr="006175FA" w:rsidRDefault="00F4469F" w:rsidP="006175FA">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Annual Training Plan</w:t>
      </w:r>
      <w:r w:rsidRPr="006175FA">
        <w:rPr>
          <w:rFonts w:eastAsia="Times New Roman"/>
          <w:color w:val="000000"/>
          <w:kern w:val="0"/>
          <w:lang w:val="en-US" w:eastAsia="tr-TR"/>
          <w14:ligatures w14:val="none"/>
        </w:rPr>
        <w:t> (PDF or Excel)</w:t>
      </w:r>
    </w:p>
    <w:p w14:paraId="238AF5DC" w14:textId="77777777" w:rsidR="00F4469F" w:rsidRPr="006175FA" w:rsidRDefault="00F4469F" w:rsidP="006175FA">
      <w:pPr>
        <w:numPr>
          <w:ilvl w:val="1"/>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 calendar including basic, refresher, and staff trainings throughout the year</w:t>
      </w:r>
    </w:p>
    <w:p w14:paraId="2506CA4C" w14:textId="77777777" w:rsidR="00F4469F" w:rsidRPr="006175FA" w:rsidRDefault="00F4469F" w:rsidP="006175FA">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Training Exam Documents</w:t>
      </w:r>
      <w:r w:rsidRPr="006175FA">
        <w:rPr>
          <w:rFonts w:eastAsia="Times New Roman"/>
          <w:color w:val="000000"/>
          <w:kern w:val="0"/>
          <w:lang w:val="en-US" w:eastAsia="tr-TR"/>
          <w14:ligatures w14:val="none"/>
        </w:rPr>
        <w:t> (PDF)</w:t>
      </w:r>
    </w:p>
    <w:p w14:paraId="108B8321" w14:textId="77777777" w:rsidR="00F4469F" w:rsidRPr="006175FA" w:rsidRDefault="00F4469F" w:rsidP="006175FA">
      <w:pPr>
        <w:numPr>
          <w:ilvl w:val="1"/>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Participant exam papers or digital test results</w:t>
      </w:r>
    </w:p>
    <w:p w14:paraId="53324155" w14:textId="77777777" w:rsidR="00F4469F" w:rsidRPr="006175FA" w:rsidRDefault="00F4469F" w:rsidP="006175FA">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Certificate Records</w:t>
      </w:r>
      <w:r w:rsidRPr="006175FA">
        <w:rPr>
          <w:rFonts w:eastAsia="Times New Roman"/>
          <w:color w:val="000000"/>
          <w:kern w:val="0"/>
          <w:lang w:val="en-US" w:eastAsia="tr-TR"/>
          <w14:ligatures w14:val="none"/>
        </w:rPr>
        <w:t> (PDF or system screenshot)</w:t>
      </w:r>
    </w:p>
    <w:p w14:paraId="4A014A7F" w14:textId="77777777" w:rsidR="00F4469F" w:rsidRPr="006175FA" w:rsidRDefault="00F4469F" w:rsidP="006175FA">
      <w:pPr>
        <w:numPr>
          <w:ilvl w:val="1"/>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Proof of participation certificates issued at the end of each training</w:t>
      </w:r>
    </w:p>
    <w:p w14:paraId="2E93C434" w14:textId="77777777" w:rsidR="00F4469F" w:rsidRPr="006175FA" w:rsidRDefault="00F4469F" w:rsidP="006175FA">
      <w:pPr>
        <w:numPr>
          <w:ilvl w:val="0"/>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Remedial Training Documents</w:t>
      </w:r>
      <w:r w:rsidRPr="006175FA">
        <w:rPr>
          <w:rFonts w:eastAsia="Times New Roman"/>
          <w:color w:val="000000"/>
          <w:kern w:val="0"/>
          <w:lang w:val="en-US" w:eastAsia="tr-TR"/>
          <w14:ligatures w14:val="none"/>
        </w:rPr>
        <w:t> (if applicable)</w:t>
      </w:r>
    </w:p>
    <w:p w14:paraId="75DABF1A" w14:textId="77777777" w:rsidR="00F4469F" w:rsidRPr="006175FA" w:rsidRDefault="00F4469F" w:rsidP="006175FA">
      <w:pPr>
        <w:numPr>
          <w:ilvl w:val="1"/>
          <w:numId w:val="4"/>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Documentation of repeated training sessions for participants who did not pass the initial exam</w:t>
      </w:r>
    </w:p>
    <w:p w14:paraId="63E23BD5" w14:textId="77777777" w:rsidR="00F4469F" w:rsidRPr="006175FA" w:rsidRDefault="00F4469F" w:rsidP="006175FA">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2. Risk Management and Continuous Monitoring</w:t>
      </w:r>
    </w:p>
    <w:p w14:paraId="791E5017" w14:textId="77777777" w:rsidR="00F4469F" w:rsidRPr="006175FA" w:rsidRDefault="00F4469F" w:rsidP="006175FA">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Risk Map</w:t>
      </w:r>
      <w:r w:rsidRPr="006175FA">
        <w:rPr>
          <w:rFonts w:eastAsia="Times New Roman"/>
          <w:color w:val="000000"/>
          <w:kern w:val="0"/>
          <w:lang w:val="en-US" w:eastAsia="tr-TR"/>
          <w14:ligatures w14:val="none"/>
        </w:rPr>
        <w:t> (schematic visual or PDF)</w:t>
      </w:r>
    </w:p>
    <w:p w14:paraId="1AF369E9" w14:textId="77777777" w:rsidR="00F4469F" w:rsidRPr="006175FA" w:rsidRDefault="00F4469F" w:rsidP="006175FA">
      <w:pPr>
        <w:numPr>
          <w:ilvl w:val="1"/>
          <w:numId w:val="5"/>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 document mapping identified risks in areas such as facilities, transportation, and digital platforms</w:t>
      </w:r>
    </w:p>
    <w:p w14:paraId="0732C42C" w14:textId="77777777" w:rsidR="00F4469F" w:rsidRPr="006175FA" w:rsidRDefault="00F4469F" w:rsidP="006175FA">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Risk Assessment Report</w:t>
      </w:r>
      <w:r w:rsidRPr="006175FA">
        <w:rPr>
          <w:rFonts w:eastAsia="Times New Roman"/>
          <w:color w:val="000000"/>
          <w:kern w:val="0"/>
          <w:lang w:val="en-US" w:eastAsia="tr-TR"/>
          <w14:ligatures w14:val="none"/>
        </w:rPr>
        <w:t> (PDF)</w:t>
      </w:r>
    </w:p>
    <w:p w14:paraId="419C8C20" w14:textId="77777777" w:rsidR="00F4469F" w:rsidRPr="006175FA" w:rsidRDefault="00F4469F" w:rsidP="006175FA">
      <w:pPr>
        <w:numPr>
          <w:ilvl w:val="1"/>
          <w:numId w:val="5"/>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 report detailing prioritized risks, measures taken, and assessment scores</w:t>
      </w:r>
    </w:p>
    <w:p w14:paraId="2DB86DAF" w14:textId="77777777" w:rsidR="00F4469F" w:rsidRPr="006175FA" w:rsidRDefault="00F4469F" w:rsidP="006175FA">
      <w:pPr>
        <w:numPr>
          <w:ilvl w:val="0"/>
          <w:numId w:val="5"/>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Digital System Usage Records</w:t>
      </w:r>
      <w:r w:rsidRPr="006175FA">
        <w:rPr>
          <w:rFonts w:eastAsia="Times New Roman"/>
          <w:color w:val="000000"/>
          <w:kern w:val="0"/>
          <w:lang w:val="en-US" w:eastAsia="tr-TR"/>
          <w14:ligatures w14:val="none"/>
        </w:rPr>
        <w:t> (system screenshots)</w:t>
      </w:r>
    </w:p>
    <w:p w14:paraId="1754A60C" w14:textId="77777777" w:rsidR="00F4469F" w:rsidRPr="006175FA" w:rsidRDefault="00F4469F" w:rsidP="006175FA">
      <w:pPr>
        <w:numPr>
          <w:ilvl w:val="1"/>
          <w:numId w:val="5"/>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Proof that a risk monitoring software or digital solution is actively used</w:t>
      </w:r>
    </w:p>
    <w:p w14:paraId="2572DB2D" w14:textId="77777777" w:rsidR="00F4469F" w:rsidRPr="006175FA" w:rsidRDefault="00F4469F" w:rsidP="006175FA">
      <w:pPr>
        <w:spacing w:before="100" w:beforeAutospacing="1" w:after="100" w:afterAutospacing="1" w:line="240" w:lineRule="auto"/>
        <w:jc w:val="both"/>
        <w:outlineLvl w:val="2"/>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3. Advanced Complaint Management</w:t>
      </w:r>
    </w:p>
    <w:p w14:paraId="424F0565" w14:textId="77777777" w:rsidR="00F4469F" w:rsidRPr="006175FA" w:rsidRDefault="00F4469F" w:rsidP="006175FA">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Digital Complaint System Screenshot</w:t>
      </w:r>
    </w:p>
    <w:p w14:paraId="6C8EC86F" w14:textId="77777777" w:rsidR="00F4469F" w:rsidRPr="006175FA" w:rsidRDefault="00F4469F" w:rsidP="006175FA">
      <w:pPr>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Evidence of the operational structure of the web platform or mobile application</w:t>
      </w:r>
    </w:p>
    <w:p w14:paraId="3CAC34DF" w14:textId="77777777" w:rsidR="00F4469F" w:rsidRPr="006175FA" w:rsidRDefault="00F4469F" w:rsidP="006175FA">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Accessibility Tools Evidence</w:t>
      </w:r>
      <w:r w:rsidRPr="006175FA">
        <w:rPr>
          <w:rFonts w:eastAsia="Times New Roman"/>
          <w:color w:val="000000"/>
          <w:kern w:val="0"/>
          <w:lang w:val="en-US" w:eastAsia="tr-TR"/>
          <w14:ligatures w14:val="none"/>
        </w:rPr>
        <w:t> (video or image)</w:t>
      </w:r>
    </w:p>
    <w:p w14:paraId="35753417" w14:textId="77777777" w:rsidR="00F4469F" w:rsidRPr="006175FA" w:rsidRDefault="00F4469F" w:rsidP="006175FA">
      <w:pPr>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Documentation showing accessibility options available for persons with disabilities</w:t>
      </w:r>
    </w:p>
    <w:p w14:paraId="6C5C3177" w14:textId="77777777" w:rsidR="00F4469F" w:rsidRPr="006175FA" w:rsidRDefault="00F4469F" w:rsidP="006175FA">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Complaint Process Reports</w:t>
      </w:r>
    </w:p>
    <w:p w14:paraId="27E29DA4" w14:textId="77777777" w:rsidR="00F4469F" w:rsidRPr="006175FA" w:rsidRDefault="00F4469F" w:rsidP="006175FA">
      <w:pPr>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Detailed records explaining the reception, assessment, and resolution process of each complaint</w:t>
      </w:r>
    </w:p>
    <w:p w14:paraId="3BC65659" w14:textId="77777777" w:rsidR="00F4469F" w:rsidRPr="006175FA" w:rsidRDefault="00F4469F" w:rsidP="006175FA">
      <w:pPr>
        <w:numPr>
          <w:ilvl w:val="0"/>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b/>
          <w:bCs/>
          <w:color w:val="000000"/>
          <w:kern w:val="0"/>
          <w:lang w:val="en-US" w:eastAsia="tr-TR"/>
          <w14:ligatures w14:val="none"/>
        </w:rPr>
        <w:t>Annual Complaint Summary</w:t>
      </w:r>
    </w:p>
    <w:p w14:paraId="42EB6FE5" w14:textId="77777777" w:rsidR="00F4469F" w:rsidRPr="006175FA" w:rsidRDefault="00F4469F" w:rsidP="006175FA">
      <w:pPr>
        <w:numPr>
          <w:ilvl w:val="1"/>
          <w:numId w:val="6"/>
        </w:numPr>
        <w:spacing w:before="100" w:beforeAutospacing="1" w:after="100" w:afterAutospacing="1"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Quantitative data, types of complaints, response times, and resolution rates</w:t>
      </w:r>
    </w:p>
    <w:p w14:paraId="507137BF" w14:textId="3BB213A3" w:rsidR="00F4469F" w:rsidRPr="006175FA" w:rsidRDefault="00F4469F" w:rsidP="006175FA">
      <w:pPr>
        <w:jc w:val="both"/>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br w:type="page"/>
      </w:r>
    </w:p>
    <w:p w14:paraId="39A821D7" w14:textId="77777777" w:rsidR="00F4469F" w:rsidRPr="006175FA" w:rsidRDefault="00F4469F" w:rsidP="006175FA">
      <w:pPr>
        <w:spacing w:before="100" w:beforeAutospacing="1" w:after="100" w:afterAutospacing="1" w:line="240" w:lineRule="auto"/>
        <w:jc w:val="both"/>
        <w:outlineLvl w:val="1"/>
        <w:rPr>
          <w:rFonts w:eastAsia="Times New Roman"/>
          <w:b/>
          <w:bCs/>
          <w:color w:val="000000"/>
          <w:kern w:val="0"/>
          <w:lang w:val="en-US" w:eastAsia="tr-TR"/>
          <w14:ligatures w14:val="none"/>
        </w:rPr>
      </w:pPr>
    </w:p>
    <w:p w14:paraId="33E70626" w14:textId="0177151A" w:rsidR="00353384" w:rsidRPr="006175FA" w:rsidRDefault="00353384" w:rsidP="006175FA">
      <w:pPr>
        <w:spacing w:before="100" w:beforeAutospacing="1" w:after="100" w:afterAutospacing="1" w:line="240" w:lineRule="auto"/>
        <w:jc w:val="center"/>
        <w:outlineLvl w:val="1"/>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GOLD LEVEL – APPLICATION CHECKLIST</w:t>
      </w:r>
    </w:p>
    <w:p w14:paraId="40E3BA18" w14:textId="77777777" w:rsidR="00353384" w:rsidRPr="006175FA" w:rsidRDefault="00353384" w:rsidP="006175FA">
      <w:pPr>
        <w:spacing w:before="100" w:beforeAutospacing="1" w:after="100" w:afterAutospacing="1" w:line="240" w:lineRule="auto"/>
        <w:jc w:val="center"/>
        <w:rPr>
          <w:rFonts w:eastAsia="Times New Roman"/>
          <w:color w:val="000000"/>
          <w:kern w:val="0"/>
          <w:lang w:val="en-US" w:eastAsia="tr-TR"/>
          <w14:ligatures w14:val="none"/>
        </w:rPr>
      </w:pPr>
      <w:r w:rsidRPr="006175FA">
        <w:rPr>
          <w:rFonts w:eastAsia="Times New Roman"/>
          <w:i/>
          <w:iCs/>
          <w:color w:val="000000"/>
          <w:kern w:val="0"/>
          <w:lang w:val="en-US" w:eastAsia="tr-TR"/>
          <w14:ligatures w14:val="none"/>
        </w:rPr>
        <w:t>(All Bronze + Silver level criteria must be fulfilled, plus the following additional requirements.)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2956"/>
        <w:gridCol w:w="2781"/>
        <w:gridCol w:w="995"/>
      </w:tblGrid>
      <w:tr w:rsidR="00353384" w:rsidRPr="006175FA" w14:paraId="4E60B7FC" w14:textId="77777777" w:rsidTr="00F4469F">
        <w:trPr>
          <w:tblHeader/>
          <w:tblCellSpacing w:w="15" w:type="dxa"/>
        </w:trPr>
        <w:tc>
          <w:tcPr>
            <w:tcW w:w="0" w:type="auto"/>
            <w:tcBorders>
              <w:bottom w:val="single" w:sz="4" w:space="0" w:color="auto"/>
            </w:tcBorders>
            <w:vAlign w:val="center"/>
            <w:hideMark/>
          </w:tcPr>
          <w:p w14:paraId="0A2C4F67" w14:textId="77777777" w:rsidR="00353384" w:rsidRPr="006175FA" w:rsidRDefault="00353384" w:rsidP="006175FA">
            <w:pPr>
              <w:spacing w:after="0" w:line="240" w:lineRule="auto"/>
              <w:jc w:val="both"/>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Criteria</w:t>
            </w:r>
          </w:p>
        </w:tc>
        <w:tc>
          <w:tcPr>
            <w:tcW w:w="0" w:type="auto"/>
            <w:tcBorders>
              <w:bottom w:val="single" w:sz="4" w:space="0" w:color="auto"/>
            </w:tcBorders>
            <w:vAlign w:val="center"/>
            <w:hideMark/>
          </w:tcPr>
          <w:p w14:paraId="60EEDE5C" w14:textId="77777777" w:rsidR="00353384" w:rsidRPr="006175FA" w:rsidRDefault="00353384" w:rsidP="006175FA">
            <w:pPr>
              <w:spacing w:after="0" w:line="240" w:lineRule="auto"/>
              <w:jc w:val="both"/>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Description</w:t>
            </w:r>
          </w:p>
        </w:tc>
        <w:tc>
          <w:tcPr>
            <w:tcW w:w="0" w:type="auto"/>
            <w:tcBorders>
              <w:bottom w:val="single" w:sz="4" w:space="0" w:color="auto"/>
            </w:tcBorders>
            <w:vAlign w:val="center"/>
            <w:hideMark/>
          </w:tcPr>
          <w:p w14:paraId="46D55540" w14:textId="77777777" w:rsidR="00353384" w:rsidRPr="006175FA" w:rsidRDefault="00353384" w:rsidP="006175FA">
            <w:pPr>
              <w:spacing w:after="0" w:line="240" w:lineRule="auto"/>
              <w:jc w:val="both"/>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Required Supporting Documents</w:t>
            </w:r>
          </w:p>
        </w:tc>
        <w:tc>
          <w:tcPr>
            <w:tcW w:w="0" w:type="auto"/>
            <w:tcBorders>
              <w:bottom w:val="single" w:sz="4" w:space="0" w:color="auto"/>
            </w:tcBorders>
            <w:vAlign w:val="center"/>
            <w:hideMark/>
          </w:tcPr>
          <w:p w14:paraId="01344C53" w14:textId="77777777" w:rsidR="00353384" w:rsidRPr="006175FA" w:rsidRDefault="00353384" w:rsidP="006175FA">
            <w:pPr>
              <w:spacing w:after="0" w:line="240" w:lineRule="auto"/>
              <w:jc w:val="both"/>
              <w:rPr>
                <w:rFonts w:eastAsia="Times New Roman"/>
                <w:b/>
                <w:bCs/>
                <w:color w:val="000000"/>
                <w:kern w:val="0"/>
                <w:lang w:val="en-US" w:eastAsia="tr-TR"/>
                <w14:ligatures w14:val="none"/>
              </w:rPr>
            </w:pPr>
            <w:r w:rsidRPr="006175FA">
              <w:rPr>
                <w:rFonts w:eastAsia="Times New Roman"/>
                <w:b/>
                <w:bCs/>
                <w:color w:val="000000"/>
                <w:kern w:val="0"/>
                <w:lang w:val="en-US" w:eastAsia="tr-TR"/>
                <w14:ligatures w14:val="none"/>
              </w:rPr>
              <w:t>Status (</w:t>
            </w:r>
            <w:r w:rsidRPr="006175FA">
              <w:rPr>
                <w:rFonts w:ascii="Segoe UI Symbol" w:eastAsia="Times New Roman" w:hAnsi="Segoe UI Symbol" w:cs="Segoe UI Symbol"/>
                <w:b/>
                <w:bCs/>
                <w:color w:val="000000"/>
                <w:kern w:val="0"/>
                <w:lang w:val="en-US" w:eastAsia="tr-TR"/>
                <w14:ligatures w14:val="none"/>
              </w:rPr>
              <w:t>✓</w:t>
            </w:r>
            <w:r w:rsidRPr="006175FA">
              <w:rPr>
                <w:rFonts w:eastAsia="Times New Roman"/>
                <w:b/>
                <w:bCs/>
                <w:color w:val="000000"/>
                <w:kern w:val="0"/>
                <w:lang w:val="en-US" w:eastAsia="tr-TR"/>
                <w14:ligatures w14:val="none"/>
              </w:rPr>
              <w:t xml:space="preserve"> / X)</w:t>
            </w:r>
          </w:p>
        </w:tc>
      </w:tr>
      <w:tr w:rsidR="00353384" w:rsidRPr="006175FA" w14:paraId="39F5BF7E" w14:textId="77777777" w:rsidTr="00F4469F">
        <w:trPr>
          <w:tblCellSpacing w:w="15" w:type="dxa"/>
        </w:trPr>
        <w:tc>
          <w:tcPr>
            <w:tcW w:w="0" w:type="auto"/>
            <w:vAlign w:val="center"/>
            <w:hideMark/>
          </w:tcPr>
          <w:p w14:paraId="6F7F225A"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Annual Training Plan</w:t>
            </w:r>
          </w:p>
        </w:tc>
        <w:tc>
          <w:tcPr>
            <w:tcW w:w="0" w:type="auto"/>
            <w:tcBorders>
              <w:top w:val="single" w:sz="4" w:space="0" w:color="auto"/>
              <w:left w:val="single" w:sz="4" w:space="0" w:color="auto"/>
              <w:right w:val="single" w:sz="4" w:space="0" w:color="auto"/>
            </w:tcBorders>
            <w:vAlign w:val="center"/>
            <w:hideMark/>
          </w:tcPr>
          <w:p w14:paraId="7B55B9E6"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Schedule for basic, refresher, and support staff training</w:t>
            </w:r>
          </w:p>
        </w:tc>
        <w:tc>
          <w:tcPr>
            <w:tcW w:w="0" w:type="auto"/>
            <w:tcBorders>
              <w:top w:val="single" w:sz="4" w:space="0" w:color="auto"/>
              <w:right w:val="single" w:sz="4" w:space="0" w:color="auto"/>
            </w:tcBorders>
            <w:vAlign w:val="center"/>
            <w:hideMark/>
          </w:tcPr>
          <w:p w14:paraId="22C99947"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Excel or PDF plan</w:t>
            </w:r>
          </w:p>
        </w:tc>
        <w:tc>
          <w:tcPr>
            <w:tcW w:w="0" w:type="auto"/>
            <w:vAlign w:val="center"/>
            <w:hideMark/>
          </w:tcPr>
          <w:p w14:paraId="2B0A01DA"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r w:rsidR="00353384" w:rsidRPr="006175FA" w14:paraId="22F45778" w14:textId="77777777" w:rsidTr="00F4469F">
        <w:trPr>
          <w:tblCellSpacing w:w="15" w:type="dxa"/>
        </w:trPr>
        <w:tc>
          <w:tcPr>
            <w:tcW w:w="0" w:type="auto"/>
            <w:vAlign w:val="center"/>
            <w:hideMark/>
          </w:tcPr>
          <w:p w14:paraId="23C02090"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Training Exam Documents</w:t>
            </w:r>
          </w:p>
        </w:tc>
        <w:tc>
          <w:tcPr>
            <w:tcW w:w="0" w:type="auto"/>
            <w:tcBorders>
              <w:left w:val="single" w:sz="4" w:space="0" w:color="auto"/>
              <w:right w:val="single" w:sz="4" w:space="0" w:color="auto"/>
            </w:tcBorders>
            <w:vAlign w:val="center"/>
            <w:hideMark/>
          </w:tcPr>
          <w:p w14:paraId="1CADFB59"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Exam results for participants</w:t>
            </w:r>
          </w:p>
        </w:tc>
        <w:tc>
          <w:tcPr>
            <w:tcW w:w="0" w:type="auto"/>
            <w:tcBorders>
              <w:right w:val="single" w:sz="4" w:space="0" w:color="auto"/>
            </w:tcBorders>
            <w:vAlign w:val="center"/>
            <w:hideMark/>
          </w:tcPr>
          <w:p w14:paraId="5990404D"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Answer sheets, score records</w:t>
            </w:r>
          </w:p>
        </w:tc>
        <w:tc>
          <w:tcPr>
            <w:tcW w:w="0" w:type="auto"/>
            <w:vAlign w:val="center"/>
            <w:hideMark/>
          </w:tcPr>
          <w:p w14:paraId="0DFFA1F1"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r w:rsidR="00353384" w:rsidRPr="006175FA" w14:paraId="14EC43B3" w14:textId="77777777" w:rsidTr="00F4469F">
        <w:trPr>
          <w:tblCellSpacing w:w="15" w:type="dxa"/>
        </w:trPr>
        <w:tc>
          <w:tcPr>
            <w:tcW w:w="0" w:type="auto"/>
            <w:vAlign w:val="center"/>
            <w:hideMark/>
          </w:tcPr>
          <w:p w14:paraId="12CC63EC"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Certification and Retraining Records</w:t>
            </w:r>
          </w:p>
        </w:tc>
        <w:tc>
          <w:tcPr>
            <w:tcW w:w="0" w:type="auto"/>
            <w:tcBorders>
              <w:left w:val="single" w:sz="4" w:space="0" w:color="auto"/>
              <w:right w:val="single" w:sz="4" w:space="0" w:color="auto"/>
            </w:tcBorders>
            <w:vAlign w:val="center"/>
            <w:hideMark/>
          </w:tcPr>
          <w:p w14:paraId="46221998"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Certificates issued, and retraining for those who failed</w:t>
            </w:r>
          </w:p>
        </w:tc>
        <w:tc>
          <w:tcPr>
            <w:tcW w:w="0" w:type="auto"/>
            <w:tcBorders>
              <w:right w:val="single" w:sz="4" w:space="0" w:color="auto"/>
            </w:tcBorders>
            <w:vAlign w:val="center"/>
            <w:hideMark/>
          </w:tcPr>
          <w:p w14:paraId="253CB34A"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List of issued certificates, retraining documentation</w:t>
            </w:r>
          </w:p>
        </w:tc>
        <w:tc>
          <w:tcPr>
            <w:tcW w:w="0" w:type="auto"/>
            <w:vAlign w:val="center"/>
            <w:hideMark/>
          </w:tcPr>
          <w:p w14:paraId="24B6D3E8"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r w:rsidR="00353384" w:rsidRPr="006175FA" w14:paraId="3955BF7C" w14:textId="77777777" w:rsidTr="00F4469F">
        <w:trPr>
          <w:tblCellSpacing w:w="15" w:type="dxa"/>
        </w:trPr>
        <w:tc>
          <w:tcPr>
            <w:tcW w:w="0" w:type="auto"/>
            <w:vAlign w:val="center"/>
            <w:hideMark/>
          </w:tcPr>
          <w:p w14:paraId="46EDEA64"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Risk Management System</w:t>
            </w:r>
          </w:p>
        </w:tc>
        <w:tc>
          <w:tcPr>
            <w:tcW w:w="0" w:type="auto"/>
            <w:tcBorders>
              <w:left w:val="single" w:sz="4" w:space="0" w:color="auto"/>
              <w:right w:val="single" w:sz="4" w:space="0" w:color="auto"/>
            </w:tcBorders>
            <w:vAlign w:val="center"/>
            <w:hideMark/>
          </w:tcPr>
          <w:p w14:paraId="3045D94B"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Digital system, risk maps, preventive action plans</w:t>
            </w:r>
          </w:p>
        </w:tc>
        <w:tc>
          <w:tcPr>
            <w:tcW w:w="0" w:type="auto"/>
            <w:tcBorders>
              <w:right w:val="single" w:sz="4" w:space="0" w:color="auto"/>
            </w:tcBorders>
            <w:vAlign w:val="center"/>
            <w:hideMark/>
          </w:tcPr>
          <w:p w14:paraId="02ADD95B"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Schematics, risk reports, screenshots</w:t>
            </w:r>
          </w:p>
        </w:tc>
        <w:tc>
          <w:tcPr>
            <w:tcW w:w="0" w:type="auto"/>
            <w:vAlign w:val="center"/>
            <w:hideMark/>
          </w:tcPr>
          <w:p w14:paraId="627839FE"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r w:rsidR="00353384" w:rsidRPr="006175FA" w14:paraId="74A59C96" w14:textId="77777777" w:rsidTr="00F4469F">
        <w:trPr>
          <w:tblCellSpacing w:w="15" w:type="dxa"/>
        </w:trPr>
        <w:tc>
          <w:tcPr>
            <w:tcW w:w="0" w:type="auto"/>
            <w:vAlign w:val="center"/>
            <w:hideMark/>
          </w:tcPr>
          <w:p w14:paraId="299FCC58"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Risk Assessment Reports</w:t>
            </w:r>
          </w:p>
        </w:tc>
        <w:tc>
          <w:tcPr>
            <w:tcW w:w="0" w:type="auto"/>
            <w:tcBorders>
              <w:left w:val="single" w:sz="4" w:space="0" w:color="auto"/>
              <w:right w:val="single" w:sz="4" w:space="0" w:color="auto"/>
            </w:tcBorders>
            <w:vAlign w:val="center"/>
            <w:hideMark/>
          </w:tcPr>
          <w:p w14:paraId="726F0CB4"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Updated reports for each activity area</w:t>
            </w:r>
          </w:p>
        </w:tc>
        <w:tc>
          <w:tcPr>
            <w:tcW w:w="0" w:type="auto"/>
            <w:tcBorders>
              <w:right w:val="single" w:sz="4" w:space="0" w:color="auto"/>
            </w:tcBorders>
            <w:vAlign w:val="center"/>
            <w:hideMark/>
          </w:tcPr>
          <w:p w14:paraId="29475332"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Detailed PDF reports</w:t>
            </w:r>
          </w:p>
        </w:tc>
        <w:tc>
          <w:tcPr>
            <w:tcW w:w="0" w:type="auto"/>
            <w:vAlign w:val="center"/>
            <w:hideMark/>
          </w:tcPr>
          <w:p w14:paraId="304F7E1B"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r w:rsidR="00353384" w:rsidRPr="006175FA" w14:paraId="009F8DB2" w14:textId="77777777" w:rsidTr="00F4469F">
        <w:trPr>
          <w:tblCellSpacing w:w="15" w:type="dxa"/>
        </w:trPr>
        <w:tc>
          <w:tcPr>
            <w:tcW w:w="0" w:type="auto"/>
            <w:vAlign w:val="center"/>
            <w:hideMark/>
          </w:tcPr>
          <w:p w14:paraId="10750AF9"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Advanced Complaint System</w:t>
            </w:r>
          </w:p>
        </w:tc>
        <w:tc>
          <w:tcPr>
            <w:tcW w:w="0" w:type="auto"/>
            <w:tcBorders>
              <w:left w:val="single" w:sz="4" w:space="0" w:color="auto"/>
              <w:right w:val="single" w:sz="4" w:space="0" w:color="auto"/>
            </w:tcBorders>
            <w:vAlign w:val="center"/>
            <w:hideMark/>
          </w:tcPr>
          <w:p w14:paraId="7532BC42"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Web/mobile access, accessibility for disadvantaged users</w:t>
            </w:r>
          </w:p>
        </w:tc>
        <w:tc>
          <w:tcPr>
            <w:tcW w:w="0" w:type="auto"/>
            <w:tcBorders>
              <w:right w:val="single" w:sz="4" w:space="0" w:color="auto"/>
            </w:tcBorders>
            <w:vAlign w:val="center"/>
            <w:hideMark/>
          </w:tcPr>
          <w:p w14:paraId="366D2CF5"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Website link, screenshots, accessibility tools</w:t>
            </w:r>
          </w:p>
        </w:tc>
        <w:tc>
          <w:tcPr>
            <w:tcW w:w="0" w:type="auto"/>
            <w:vAlign w:val="center"/>
            <w:hideMark/>
          </w:tcPr>
          <w:p w14:paraId="15628BF2"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r w:rsidR="00353384" w:rsidRPr="006175FA" w14:paraId="7B5B35A2" w14:textId="77777777" w:rsidTr="00F4469F">
        <w:trPr>
          <w:tblCellSpacing w:w="15" w:type="dxa"/>
        </w:trPr>
        <w:tc>
          <w:tcPr>
            <w:tcW w:w="0" w:type="auto"/>
            <w:vAlign w:val="center"/>
            <w:hideMark/>
          </w:tcPr>
          <w:p w14:paraId="040BA3C9"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Complaint Tracking Reports</w:t>
            </w:r>
          </w:p>
        </w:tc>
        <w:tc>
          <w:tcPr>
            <w:tcW w:w="0" w:type="auto"/>
            <w:tcBorders>
              <w:left w:val="single" w:sz="4" w:space="0" w:color="auto"/>
              <w:right w:val="single" w:sz="4" w:space="0" w:color="auto"/>
            </w:tcBorders>
            <w:vAlign w:val="center"/>
            <w:hideMark/>
          </w:tcPr>
          <w:p w14:paraId="4D96F963"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Case-specific complaint files and resolutions</w:t>
            </w:r>
          </w:p>
        </w:tc>
        <w:tc>
          <w:tcPr>
            <w:tcW w:w="0" w:type="auto"/>
            <w:tcBorders>
              <w:right w:val="single" w:sz="4" w:space="0" w:color="auto"/>
            </w:tcBorders>
            <w:vAlign w:val="center"/>
            <w:hideMark/>
          </w:tcPr>
          <w:p w14:paraId="33EA261E"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Detailed complaint logs, annual summary report</w:t>
            </w:r>
          </w:p>
        </w:tc>
        <w:tc>
          <w:tcPr>
            <w:tcW w:w="0" w:type="auto"/>
            <w:vAlign w:val="center"/>
            <w:hideMark/>
          </w:tcPr>
          <w:p w14:paraId="38C51248"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r w:rsidR="00353384" w:rsidRPr="006175FA" w14:paraId="4FE3E06D" w14:textId="77777777" w:rsidTr="00F4469F">
        <w:trPr>
          <w:tblCellSpacing w:w="15" w:type="dxa"/>
        </w:trPr>
        <w:tc>
          <w:tcPr>
            <w:tcW w:w="0" w:type="auto"/>
            <w:tcBorders>
              <w:bottom w:val="single" w:sz="4" w:space="0" w:color="auto"/>
            </w:tcBorders>
            <w:vAlign w:val="center"/>
            <w:hideMark/>
          </w:tcPr>
          <w:p w14:paraId="7525941D"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Data Privacy &amp; Confidentiality Policy</w:t>
            </w:r>
          </w:p>
        </w:tc>
        <w:tc>
          <w:tcPr>
            <w:tcW w:w="0" w:type="auto"/>
            <w:tcBorders>
              <w:left w:val="single" w:sz="4" w:space="0" w:color="auto"/>
              <w:bottom w:val="single" w:sz="4" w:space="0" w:color="auto"/>
              <w:right w:val="single" w:sz="4" w:space="0" w:color="auto"/>
            </w:tcBorders>
            <w:vAlign w:val="center"/>
            <w:hideMark/>
          </w:tcPr>
          <w:p w14:paraId="3DB01DF0"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GDPR/KVK-compliant data handling commitments</w:t>
            </w:r>
          </w:p>
        </w:tc>
        <w:tc>
          <w:tcPr>
            <w:tcW w:w="0" w:type="auto"/>
            <w:tcBorders>
              <w:bottom w:val="single" w:sz="4" w:space="0" w:color="auto"/>
              <w:right w:val="single" w:sz="4" w:space="0" w:color="auto"/>
            </w:tcBorders>
            <w:vAlign w:val="center"/>
            <w:hideMark/>
          </w:tcPr>
          <w:p w14:paraId="28794E57" w14:textId="77777777" w:rsidR="00353384" w:rsidRPr="006175FA" w:rsidRDefault="00353384" w:rsidP="006175FA">
            <w:pPr>
              <w:spacing w:after="0" w:line="240" w:lineRule="auto"/>
              <w:jc w:val="both"/>
              <w:rPr>
                <w:rFonts w:eastAsia="Times New Roman"/>
                <w:color w:val="000000"/>
                <w:kern w:val="0"/>
                <w:lang w:val="en-US" w:eastAsia="tr-TR"/>
                <w14:ligatures w14:val="none"/>
              </w:rPr>
            </w:pPr>
            <w:r w:rsidRPr="006175FA">
              <w:rPr>
                <w:rFonts w:eastAsia="Times New Roman"/>
                <w:color w:val="000000"/>
                <w:kern w:val="0"/>
                <w:lang w:val="en-US" w:eastAsia="tr-TR"/>
                <w14:ligatures w14:val="none"/>
              </w:rPr>
              <w:t>Signed data protection document</w:t>
            </w:r>
          </w:p>
        </w:tc>
        <w:tc>
          <w:tcPr>
            <w:tcW w:w="0" w:type="auto"/>
            <w:tcBorders>
              <w:bottom w:val="single" w:sz="4" w:space="0" w:color="auto"/>
            </w:tcBorders>
            <w:vAlign w:val="center"/>
            <w:hideMark/>
          </w:tcPr>
          <w:p w14:paraId="50BF2464" w14:textId="77777777" w:rsidR="00353384" w:rsidRPr="006175FA" w:rsidRDefault="00353384" w:rsidP="006175FA">
            <w:pPr>
              <w:spacing w:after="0" w:line="240" w:lineRule="auto"/>
              <w:jc w:val="both"/>
              <w:rPr>
                <w:rFonts w:eastAsia="Times New Roman"/>
                <w:color w:val="000000"/>
                <w:kern w:val="0"/>
                <w:lang w:val="en-US" w:eastAsia="tr-TR"/>
                <w14:ligatures w14:val="none"/>
              </w:rPr>
            </w:pPr>
          </w:p>
        </w:tc>
      </w:tr>
    </w:tbl>
    <w:p w14:paraId="529C55B4" w14:textId="77777777" w:rsidR="00724254" w:rsidRPr="006175FA" w:rsidRDefault="00724254" w:rsidP="006175FA">
      <w:pPr>
        <w:jc w:val="both"/>
        <w:rPr>
          <w:lang w:val="en-US"/>
        </w:rPr>
      </w:pPr>
    </w:p>
    <w:sectPr w:rsidR="00724254" w:rsidRPr="006175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80810" w14:textId="77777777" w:rsidR="00C0043E" w:rsidRDefault="00C0043E" w:rsidP="006175FA">
      <w:pPr>
        <w:spacing w:after="0" w:line="240" w:lineRule="auto"/>
      </w:pPr>
      <w:r>
        <w:separator/>
      </w:r>
    </w:p>
  </w:endnote>
  <w:endnote w:type="continuationSeparator" w:id="0">
    <w:p w14:paraId="343464A7" w14:textId="77777777" w:rsidR="00C0043E" w:rsidRDefault="00C0043E" w:rsidP="0061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B42B" w14:textId="77777777" w:rsidR="00C0043E" w:rsidRDefault="00C0043E" w:rsidP="006175FA">
      <w:pPr>
        <w:spacing w:after="0" w:line="240" w:lineRule="auto"/>
      </w:pPr>
      <w:r>
        <w:separator/>
      </w:r>
    </w:p>
  </w:footnote>
  <w:footnote w:type="continuationSeparator" w:id="0">
    <w:p w14:paraId="78202119" w14:textId="77777777" w:rsidR="00C0043E" w:rsidRDefault="00C0043E" w:rsidP="00617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C3EA5"/>
    <w:multiLevelType w:val="multilevel"/>
    <w:tmpl w:val="1C240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B2297"/>
    <w:multiLevelType w:val="multilevel"/>
    <w:tmpl w:val="44EED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401C8"/>
    <w:multiLevelType w:val="multilevel"/>
    <w:tmpl w:val="21FA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B2A1C"/>
    <w:multiLevelType w:val="multilevel"/>
    <w:tmpl w:val="56846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B1283"/>
    <w:multiLevelType w:val="multilevel"/>
    <w:tmpl w:val="BF06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70120B"/>
    <w:multiLevelType w:val="multilevel"/>
    <w:tmpl w:val="ECCC1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400939">
    <w:abstractNumId w:val="5"/>
  </w:num>
  <w:num w:numId="2" w16cid:durableId="2099714324">
    <w:abstractNumId w:val="0"/>
  </w:num>
  <w:num w:numId="3" w16cid:durableId="1292055396">
    <w:abstractNumId w:val="1"/>
  </w:num>
  <w:num w:numId="4" w16cid:durableId="1337422817">
    <w:abstractNumId w:val="2"/>
  </w:num>
  <w:num w:numId="5" w16cid:durableId="489833404">
    <w:abstractNumId w:val="4"/>
  </w:num>
  <w:num w:numId="6" w16cid:durableId="336618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84"/>
    <w:rsid w:val="00353384"/>
    <w:rsid w:val="006175FA"/>
    <w:rsid w:val="00724254"/>
    <w:rsid w:val="00C0043E"/>
    <w:rsid w:val="00C17101"/>
    <w:rsid w:val="00D60678"/>
    <w:rsid w:val="00F44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BB40"/>
  <w15:chartTrackingRefBased/>
  <w15:docId w15:val="{5E190634-97C9-0B40-B230-97B7C377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53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353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3533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533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353384"/>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3533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353384"/>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353384"/>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353384"/>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olar">
    <w:name w:val="Tablolar"/>
    <w:link w:val="TablolarChar"/>
    <w:qFormat/>
    <w:rsid w:val="00D60678"/>
    <w:pPr>
      <w:spacing w:before="120" w:after="120" w:line="259" w:lineRule="auto"/>
      <w:ind w:left="709" w:hanging="709"/>
      <w:jc w:val="both"/>
    </w:pPr>
    <w:rPr>
      <w:rFonts w:eastAsia="Calibri" w:cstheme="minorHAnsi"/>
      <w:szCs w:val="23"/>
      <w:lang w:eastAsia="tr-TR"/>
    </w:rPr>
  </w:style>
  <w:style w:type="character" w:customStyle="1" w:styleId="TablolarChar">
    <w:name w:val="Tablolar Char"/>
    <w:basedOn w:val="VarsaylanParagrafYazTipi"/>
    <w:link w:val="Tablolar"/>
    <w:rsid w:val="00D60678"/>
    <w:rPr>
      <w:rFonts w:eastAsia="Calibri" w:cstheme="minorHAnsi"/>
      <w:szCs w:val="23"/>
      <w:lang w:eastAsia="tr-TR"/>
    </w:rPr>
  </w:style>
  <w:style w:type="paragraph" w:customStyle="1" w:styleId="Grsel">
    <w:name w:val="Görsel"/>
    <w:rsid w:val="00D60678"/>
    <w:pPr>
      <w:spacing w:line="259" w:lineRule="auto"/>
      <w:jc w:val="center"/>
    </w:pPr>
    <w:rPr>
      <w:kern w:val="0"/>
      <w:sz w:val="20"/>
      <w14:ligatures w14:val="none"/>
    </w:rPr>
  </w:style>
  <w:style w:type="character" w:customStyle="1" w:styleId="Balk1Char">
    <w:name w:val="Başlık 1 Char"/>
    <w:basedOn w:val="VarsaylanParagrafYazTipi"/>
    <w:link w:val="Balk1"/>
    <w:uiPriority w:val="9"/>
    <w:rsid w:val="0035338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35338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353384"/>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53384"/>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353384"/>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353384"/>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353384"/>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353384"/>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353384"/>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353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338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3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3384"/>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35338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3384"/>
    <w:rPr>
      <w:i/>
      <w:iCs/>
      <w:color w:val="404040" w:themeColor="text1" w:themeTint="BF"/>
    </w:rPr>
  </w:style>
  <w:style w:type="paragraph" w:styleId="ListeParagraf">
    <w:name w:val="List Paragraph"/>
    <w:basedOn w:val="Normal"/>
    <w:uiPriority w:val="34"/>
    <w:qFormat/>
    <w:rsid w:val="00353384"/>
    <w:pPr>
      <w:ind w:left="720"/>
      <w:contextualSpacing/>
    </w:pPr>
  </w:style>
  <w:style w:type="character" w:styleId="GlVurgulama">
    <w:name w:val="Intense Emphasis"/>
    <w:basedOn w:val="VarsaylanParagrafYazTipi"/>
    <w:uiPriority w:val="21"/>
    <w:qFormat/>
    <w:rsid w:val="00353384"/>
    <w:rPr>
      <w:i/>
      <w:iCs/>
      <w:color w:val="0F4761" w:themeColor="accent1" w:themeShade="BF"/>
    </w:rPr>
  </w:style>
  <w:style w:type="paragraph" w:styleId="GlAlnt">
    <w:name w:val="Intense Quote"/>
    <w:basedOn w:val="Normal"/>
    <w:next w:val="Normal"/>
    <w:link w:val="GlAlntChar"/>
    <w:uiPriority w:val="30"/>
    <w:qFormat/>
    <w:rsid w:val="00353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53384"/>
    <w:rPr>
      <w:i/>
      <w:iCs/>
      <w:color w:val="0F4761" w:themeColor="accent1" w:themeShade="BF"/>
    </w:rPr>
  </w:style>
  <w:style w:type="character" w:styleId="GlBavuru">
    <w:name w:val="Intense Reference"/>
    <w:basedOn w:val="VarsaylanParagrafYazTipi"/>
    <w:uiPriority w:val="32"/>
    <w:qFormat/>
    <w:rsid w:val="00353384"/>
    <w:rPr>
      <w:b/>
      <w:bCs/>
      <w:smallCaps/>
      <w:color w:val="0F4761" w:themeColor="accent1" w:themeShade="BF"/>
      <w:spacing w:val="5"/>
    </w:rPr>
  </w:style>
  <w:style w:type="character" w:styleId="Gl">
    <w:name w:val="Strong"/>
    <w:basedOn w:val="VarsaylanParagrafYazTipi"/>
    <w:uiPriority w:val="22"/>
    <w:qFormat/>
    <w:rsid w:val="00353384"/>
    <w:rPr>
      <w:b/>
      <w:bCs/>
    </w:rPr>
  </w:style>
  <w:style w:type="character" w:styleId="Vurgu">
    <w:name w:val="Emphasis"/>
    <w:basedOn w:val="VarsaylanParagrafYazTipi"/>
    <w:uiPriority w:val="20"/>
    <w:qFormat/>
    <w:rsid w:val="00353384"/>
    <w:rPr>
      <w:i/>
      <w:iCs/>
    </w:rPr>
  </w:style>
  <w:style w:type="character" w:customStyle="1" w:styleId="apple-converted-space">
    <w:name w:val="apple-converted-space"/>
    <w:basedOn w:val="VarsaylanParagrafYazTipi"/>
    <w:rsid w:val="00F4469F"/>
  </w:style>
  <w:style w:type="paragraph" w:styleId="stBilgi">
    <w:name w:val="header"/>
    <w:basedOn w:val="Normal"/>
    <w:link w:val="stBilgiChar"/>
    <w:uiPriority w:val="99"/>
    <w:unhideWhenUsed/>
    <w:rsid w:val="006175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75FA"/>
  </w:style>
  <w:style w:type="paragraph" w:styleId="AltBilgi">
    <w:name w:val="footer"/>
    <w:basedOn w:val="Normal"/>
    <w:link w:val="AltBilgiChar"/>
    <w:uiPriority w:val="99"/>
    <w:unhideWhenUsed/>
    <w:rsid w:val="006175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3130">
      <w:bodyDiv w:val="1"/>
      <w:marLeft w:val="0"/>
      <w:marRight w:val="0"/>
      <w:marTop w:val="0"/>
      <w:marBottom w:val="0"/>
      <w:divBdr>
        <w:top w:val="none" w:sz="0" w:space="0" w:color="auto"/>
        <w:left w:val="none" w:sz="0" w:space="0" w:color="auto"/>
        <w:bottom w:val="none" w:sz="0" w:space="0" w:color="auto"/>
        <w:right w:val="none" w:sz="0" w:space="0" w:color="auto"/>
      </w:divBdr>
    </w:div>
    <w:div w:id="1877350376">
      <w:bodyDiv w:val="1"/>
      <w:marLeft w:val="0"/>
      <w:marRight w:val="0"/>
      <w:marTop w:val="0"/>
      <w:marBottom w:val="0"/>
      <w:divBdr>
        <w:top w:val="none" w:sz="0" w:space="0" w:color="auto"/>
        <w:left w:val="none" w:sz="0" w:space="0" w:color="auto"/>
        <w:bottom w:val="none" w:sz="0" w:space="0" w:color="auto"/>
        <w:right w:val="none" w:sz="0" w:space="0" w:color="auto"/>
      </w:divBdr>
    </w:div>
    <w:div w:id="20681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674</Words>
  <Characters>3843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AKMAN</dc:creator>
  <cp:keywords/>
  <dc:description/>
  <cp:lastModifiedBy>Onur AKMAN</cp:lastModifiedBy>
  <cp:revision>2</cp:revision>
  <dcterms:created xsi:type="dcterms:W3CDTF">2025-05-01T12:00:00Z</dcterms:created>
  <dcterms:modified xsi:type="dcterms:W3CDTF">2025-05-01T14:13:00Z</dcterms:modified>
</cp:coreProperties>
</file>